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63" w:rsidRPr="000A7F4B" w:rsidRDefault="00CC6A4C" w:rsidP="00834C60">
      <w:pPr>
        <w:pStyle w:val="1"/>
        <w:jc w:val="center"/>
      </w:pPr>
      <w:r w:rsidRPr="00C55A26">
        <w:t>Тема 1.3 Технология автоматической сварки в защитных газах</w:t>
      </w:r>
    </w:p>
    <w:p w:rsidR="00CC6A4C" w:rsidRPr="00C55A26" w:rsidRDefault="00CC6A4C" w:rsidP="00834C60">
      <w:pPr>
        <w:pStyle w:val="1"/>
        <w:jc w:val="center"/>
      </w:pPr>
      <w:r w:rsidRPr="00C55A26">
        <w:t>Особенности сварки в защитных газах</w:t>
      </w:r>
    </w:p>
    <w:p w:rsidR="00CC6A4C" w:rsidRPr="00CC6A4C" w:rsidRDefault="00CC6A4C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A4C" w:rsidRPr="00CC6A4C" w:rsidRDefault="00CC6A4C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A4C">
        <w:rPr>
          <w:rFonts w:ascii="Times New Roman" w:hAnsi="Times New Roman" w:cs="Times New Roman"/>
          <w:sz w:val="28"/>
          <w:szCs w:val="28"/>
        </w:rPr>
        <w:t>Сущностью и отличительной особенностью дуговой сварки в защитных газах является защита расплавленного и нагретого до высокой температуры основного и электродного металла от вредного влияния воздуха защитными газами, обеспечивающими физическую изоляцию мета</w:t>
      </w:r>
      <w:r w:rsidR="00840C48">
        <w:rPr>
          <w:rFonts w:ascii="Times New Roman" w:hAnsi="Times New Roman" w:cs="Times New Roman"/>
          <w:sz w:val="28"/>
          <w:szCs w:val="28"/>
        </w:rPr>
        <w:t>лла и зоны сварки от контакта</w:t>
      </w:r>
      <w:r w:rsidRPr="00CC6A4C">
        <w:rPr>
          <w:rFonts w:ascii="Times New Roman" w:hAnsi="Times New Roman" w:cs="Times New Roman"/>
          <w:sz w:val="28"/>
          <w:szCs w:val="28"/>
        </w:rPr>
        <w:t xml:space="preserve"> с воздухом и заданную атмосферу в зоне сварки. Используют инертные и </w:t>
      </w:r>
      <w:r w:rsidR="00E54EE3">
        <w:rPr>
          <w:rFonts w:ascii="Times New Roman" w:hAnsi="Times New Roman" w:cs="Times New Roman"/>
          <w:sz w:val="28"/>
          <w:szCs w:val="28"/>
        </w:rPr>
        <w:t>активные</w:t>
      </w:r>
      <w:r w:rsidRPr="00CC6A4C">
        <w:rPr>
          <w:rFonts w:ascii="Times New Roman" w:hAnsi="Times New Roman" w:cs="Times New Roman"/>
          <w:sz w:val="28"/>
          <w:szCs w:val="28"/>
        </w:rPr>
        <w:t xml:space="preserve"> защитные газы.</w:t>
      </w:r>
    </w:p>
    <w:p w:rsidR="00E54EE3" w:rsidRDefault="00E54EE3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6A4C" w:rsidRPr="00CC6A4C">
        <w:rPr>
          <w:rFonts w:ascii="Times New Roman" w:hAnsi="Times New Roman" w:cs="Times New Roman"/>
          <w:sz w:val="28"/>
          <w:szCs w:val="28"/>
        </w:rPr>
        <w:t xml:space="preserve">ри дуговой сварке применяют два основных способа газовой защиты: местную и общую в камерах (сварка в контролируемой среде). Наиболее распространенной является струйная местная защита в потоке газа, истекающего из сопла сварочной горелка. </w:t>
      </w:r>
    </w:p>
    <w:p w:rsidR="00E54EE3" w:rsidRDefault="00E54EE3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EE3" w:rsidRDefault="00E54EE3" w:rsidP="00E54EE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19575" cy="3737889"/>
            <wp:effectExtent l="19050" t="0" r="9525" b="0"/>
            <wp:docPr id="1" name="Рисунок 1" descr="C:\Documents and Settings\Admin\Рабочий стол\2012-11-17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7\Image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737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EE3" w:rsidRPr="00E54EE3" w:rsidRDefault="00E54EE3" w:rsidP="00E54EE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54EE3">
        <w:rPr>
          <w:rFonts w:ascii="Times New Roman" w:hAnsi="Times New Roman" w:cs="Times New Roman"/>
          <w:i/>
          <w:sz w:val="24"/>
          <w:szCs w:val="24"/>
        </w:rPr>
        <w:t>Рис.2</w:t>
      </w:r>
      <w:r w:rsidR="00840C48">
        <w:rPr>
          <w:rFonts w:ascii="Times New Roman" w:hAnsi="Times New Roman" w:cs="Times New Roman"/>
          <w:i/>
          <w:sz w:val="24"/>
          <w:szCs w:val="24"/>
        </w:rPr>
        <w:t>7</w:t>
      </w:r>
      <w:r w:rsidRPr="00E54EE3">
        <w:rPr>
          <w:rFonts w:ascii="Times New Roman" w:hAnsi="Times New Roman" w:cs="Times New Roman"/>
          <w:i/>
          <w:sz w:val="24"/>
          <w:szCs w:val="24"/>
        </w:rPr>
        <w:t xml:space="preserve"> Схема газового потока из сопла сварочной горелки:</w:t>
      </w:r>
    </w:p>
    <w:p w:rsidR="00E54EE3" w:rsidRPr="00E54EE3" w:rsidRDefault="00E54EE3" w:rsidP="00E54EE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54EE3">
        <w:rPr>
          <w:rFonts w:ascii="Times New Roman" w:hAnsi="Times New Roman" w:cs="Times New Roman"/>
          <w:i/>
          <w:sz w:val="24"/>
          <w:szCs w:val="24"/>
        </w:rPr>
        <w:t xml:space="preserve">1 – сопло горелки, 2 – ядро потока, 3 – периферийная область; Н – длина ядра потока, </w:t>
      </w:r>
      <w:r w:rsidRPr="00E54EE3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E54EE3">
        <w:rPr>
          <w:rFonts w:ascii="Times New Roman" w:hAnsi="Times New Roman" w:cs="Times New Roman"/>
          <w:i/>
          <w:sz w:val="24"/>
          <w:szCs w:val="24"/>
        </w:rPr>
        <w:t xml:space="preserve"> – расстояние от среза до детали, АА – сечение среза сопла,  </w:t>
      </w:r>
      <w:r w:rsidRPr="00E54EE3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E54EE3">
        <w:rPr>
          <w:rFonts w:ascii="Times New Roman" w:hAnsi="Times New Roman" w:cs="Times New Roman"/>
          <w:i/>
          <w:sz w:val="24"/>
          <w:szCs w:val="24"/>
        </w:rPr>
        <w:t>– диаметр сопла</w:t>
      </w:r>
    </w:p>
    <w:p w:rsidR="00CC6A4C" w:rsidRPr="000A7F4B" w:rsidRDefault="00CC6A4C" w:rsidP="00E54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A4C">
        <w:rPr>
          <w:rFonts w:ascii="Times New Roman" w:hAnsi="Times New Roman" w:cs="Times New Roman"/>
          <w:sz w:val="28"/>
          <w:szCs w:val="28"/>
        </w:rPr>
        <w:lastRenderedPageBreak/>
        <w:t xml:space="preserve">Качество струйной защиты зависит от конструкции и размеров сопла </w:t>
      </w:r>
      <w:r w:rsidRPr="00C55A26">
        <w:rPr>
          <w:rFonts w:ascii="Times New Roman" w:hAnsi="Times New Roman" w:cs="Times New Roman"/>
          <w:i/>
          <w:sz w:val="28"/>
          <w:szCs w:val="28"/>
        </w:rPr>
        <w:t>1</w:t>
      </w:r>
      <w:r w:rsidR="00E54EE3">
        <w:rPr>
          <w:rFonts w:ascii="Times New Roman" w:hAnsi="Times New Roman" w:cs="Times New Roman"/>
          <w:sz w:val="28"/>
          <w:szCs w:val="28"/>
        </w:rPr>
        <w:t>, расхода защитного га</w:t>
      </w:r>
      <w:r w:rsidRPr="00CC6A4C">
        <w:rPr>
          <w:rFonts w:ascii="Times New Roman" w:hAnsi="Times New Roman" w:cs="Times New Roman"/>
          <w:sz w:val="28"/>
          <w:szCs w:val="28"/>
        </w:rPr>
        <w:t xml:space="preserve">за и расстояния </w:t>
      </w:r>
      <w:r w:rsidRPr="00C55A26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CC6A4C">
        <w:rPr>
          <w:rFonts w:ascii="Times New Roman" w:hAnsi="Times New Roman" w:cs="Times New Roman"/>
          <w:sz w:val="28"/>
          <w:szCs w:val="28"/>
        </w:rPr>
        <w:t xml:space="preserve"> от среза сопла </w:t>
      </w:r>
      <w:r w:rsidRPr="00C55A26">
        <w:rPr>
          <w:rFonts w:ascii="Times New Roman" w:hAnsi="Times New Roman" w:cs="Times New Roman"/>
          <w:i/>
          <w:sz w:val="28"/>
          <w:szCs w:val="28"/>
        </w:rPr>
        <w:t>А-А</w:t>
      </w:r>
      <w:r w:rsidRPr="00CC6A4C">
        <w:rPr>
          <w:rFonts w:ascii="Times New Roman" w:hAnsi="Times New Roman" w:cs="Times New Roman"/>
          <w:sz w:val="28"/>
          <w:szCs w:val="28"/>
        </w:rPr>
        <w:t xml:space="preserve"> до поверхности свариваемого материала. В строении газового пото</w:t>
      </w:r>
      <w:r w:rsidR="00840C48">
        <w:rPr>
          <w:rFonts w:ascii="Times New Roman" w:hAnsi="Times New Roman" w:cs="Times New Roman"/>
          <w:sz w:val="28"/>
          <w:szCs w:val="28"/>
        </w:rPr>
        <w:t>ка различают две области (рис.27</w:t>
      </w:r>
      <w:r w:rsidRPr="00CC6A4C">
        <w:rPr>
          <w:rFonts w:ascii="Times New Roman" w:hAnsi="Times New Roman" w:cs="Times New Roman"/>
          <w:sz w:val="28"/>
          <w:szCs w:val="28"/>
        </w:rPr>
        <w:t xml:space="preserve">): ядро струи </w:t>
      </w:r>
      <w:r w:rsidRPr="00C55A26">
        <w:rPr>
          <w:rFonts w:ascii="Times New Roman" w:hAnsi="Times New Roman" w:cs="Times New Roman"/>
          <w:i/>
          <w:sz w:val="28"/>
          <w:szCs w:val="28"/>
        </w:rPr>
        <w:t>2</w:t>
      </w:r>
      <w:r w:rsidRPr="00CC6A4C">
        <w:rPr>
          <w:rFonts w:ascii="Times New Roman" w:hAnsi="Times New Roman" w:cs="Times New Roman"/>
          <w:sz w:val="28"/>
          <w:szCs w:val="28"/>
        </w:rPr>
        <w:t xml:space="preserve"> и периферийный участок 3. При истечении</w:t>
      </w:r>
      <w:r w:rsidR="00E54EE3">
        <w:rPr>
          <w:rFonts w:ascii="Times New Roman" w:hAnsi="Times New Roman" w:cs="Times New Roman"/>
          <w:sz w:val="28"/>
          <w:szCs w:val="28"/>
        </w:rPr>
        <w:t xml:space="preserve"> </w:t>
      </w:r>
      <w:r w:rsidRPr="00CC6A4C">
        <w:rPr>
          <w:rFonts w:ascii="Times New Roman" w:hAnsi="Times New Roman" w:cs="Times New Roman"/>
          <w:sz w:val="28"/>
          <w:szCs w:val="28"/>
        </w:rPr>
        <w:t xml:space="preserve">в окружающую воздушную среду в ядре потока </w:t>
      </w:r>
      <w:r w:rsidRPr="00C55A26">
        <w:rPr>
          <w:rFonts w:ascii="Times New Roman" w:hAnsi="Times New Roman" w:cs="Times New Roman"/>
          <w:i/>
          <w:sz w:val="28"/>
          <w:szCs w:val="28"/>
        </w:rPr>
        <w:t>2</w:t>
      </w:r>
      <w:r w:rsidRPr="00CC6A4C">
        <w:rPr>
          <w:rFonts w:ascii="Times New Roman" w:hAnsi="Times New Roman" w:cs="Times New Roman"/>
          <w:sz w:val="28"/>
          <w:szCs w:val="28"/>
        </w:rPr>
        <w:t xml:space="preserve"> сохраняются скорость и состав газа, имеющиеся в сечении </w:t>
      </w:r>
      <w:r w:rsidRPr="00C55A26">
        <w:rPr>
          <w:rFonts w:ascii="Times New Roman" w:hAnsi="Times New Roman" w:cs="Times New Roman"/>
          <w:i/>
          <w:sz w:val="28"/>
          <w:szCs w:val="28"/>
        </w:rPr>
        <w:t>А-А</w:t>
      </w:r>
      <w:r w:rsidRPr="00CC6A4C">
        <w:rPr>
          <w:rFonts w:ascii="Times New Roman" w:hAnsi="Times New Roman" w:cs="Times New Roman"/>
          <w:sz w:val="28"/>
          <w:szCs w:val="28"/>
        </w:rPr>
        <w:t xml:space="preserve"> на срезе сопла. </w:t>
      </w:r>
      <w:r w:rsidR="00E54EE3" w:rsidRPr="00CC6A4C">
        <w:rPr>
          <w:rFonts w:ascii="Times New Roman" w:hAnsi="Times New Roman" w:cs="Times New Roman"/>
          <w:sz w:val="28"/>
          <w:szCs w:val="28"/>
        </w:rPr>
        <w:t>Периферийная</w:t>
      </w:r>
      <w:r w:rsidRPr="00CC6A4C">
        <w:rPr>
          <w:rFonts w:ascii="Times New Roman" w:hAnsi="Times New Roman" w:cs="Times New Roman"/>
          <w:sz w:val="28"/>
          <w:szCs w:val="28"/>
        </w:rPr>
        <w:t xml:space="preserve"> же часть потока </w:t>
      </w:r>
      <w:r w:rsidRPr="00C55A26">
        <w:rPr>
          <w:rFonts w:ascii="Times New Roman" w:hAnsi="Times New Roman" w:cs="Times New Roman"/>
          <w:i/>
          <w:sz w:val="28"/>
          <w:szCs w:val="28"/>
        </w:rPr>
        <w:t>3</w:t>
      </w:r>
      <w:r w:rsidRPr="00CC6A4C">
        <w:rPr>
          <w:rFonts w:ascii="Times New Roman" w:hAnsi="Times New Roman" w:cs="Times New Roman"/>
          <w:sz w:val="28"/>
          <w:szCs w:val="28"/>
        </w:rPr>
        <w:t xml:space="preserve"> представляет собой область, в которой защитный газ смешивается с окружающим воздухом, а скорость в любом сечении по длине потока изменяется от первоначальной (имеющейся на срезе сопла) до нулевой на внешней границе струи. Поэтому надежная защита металла может осуществляться только в пределах ядра потока. Чем больше высота </w:t>
      </w:r>
      <w:r w:rsidRPr="00C55A26">
        <w:rPr>
          <w:rFonts w:ascii="Times New Roman" w:hAnsi="Times New Roman" w:cs="Times New Roman"/>
          <w:i/>
          <w:sz w:val="28"/>
          <w:szCs w:val="28"/>
        </w:rPr>
        <w:t>Н</w:t>
      </w:r>
      <w:r w:rsidRPr="00CC6A4C">
        <w:rPr>
          <w:rFonts w:ascii="Times New Roman" w:hAnsi="Times New Roman" w:cs="Times New Roman"/>
          <w:sz w:val="28"/>
          <w:szCs w:val="28"/>
        </w:rPr>
        <w:t xml:space="preserve"> этого участка, тем выше его защитные свойства. Максимальная высота </w:t>
      </w:r>
      <w:r w:rsidRPr="00C55A26">
        <w:rPr>
          <w:rFonts w:ascii="Times New Roman" w:hAnsi="Times New Roman" w:cs="Times New Roman"/>
          <w:i/>
          <w:sz w:val="28"/>
          <w:szCs w:val="28"/>
        </w:rPr>
        <w:t>Н</w:t>
      </w:r>
      <w:r w:rsidRPr="00CC6A4C">
        <w:rPr>
          <w:rFonts w:ascii="Times New Roman" w:hAnsi="Times New Roman" w:cs="Times New Roman"/>
          <w:sz w:val="28"/>
          <w:szCs w:val="28"/>
        </w:rPr>
        <w:t xml:space="preserve"> наблюдается при ламинарном истечении газа из сопла. При турбулентном характере истечения газа такое строение потока нарушается и защитные свойства его резко падают. Характер истечения зависит от конфигурации проточной части сопла, его размеров и расхода газа. На практике применяют три вида сопл: конические, цилиндрические и</w:t>
      </w:r>
      <w:r w:rsidR="00840C48">
        <w:rPr>
          <w:rFonts w:ascii="Times New Roman" w:hAnsi="Times New Roman" w:cs="Times New Roman"/>
          <w:sz w:val="28"/>
          <w:szCs w:val="28"/>
        </w:rPr>
        <w:t xml:space="preserve"> профилированные (рис.28</w:t>
      </w:r>
      <w:r w:rsidRPr="00CC6A4C">
        <w:rPr>
          <w:rFonts w:ascii="Times New Roman" w:hAnsi="Times New Roman" w:cs="Times New Roman"/>
          <w:sz w:val="28"/>
          <w:szCs w:val="28"/>
        </w:rPr>
        <w:t>).</w:t>
      </w:r>
    </w:p>
    <w:p w:rsidR="00192ABF" w:rsidRPr="000A7F4B" w:rsidRDefault="00192ABF" w:rsidP="00E54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ABF" w:rsidRDefault="00192ABF" w:rsidP="00192A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835169"/>
            <wp:effectExtent l="19050" t="0" r="9525" b="0"/>
            <wp:docPr id="2" name="Рисунок 2" descr="C:\Documents and Settings\Admin\Рабочий стол\2012-11-17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012-11-17\Image0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74" cy="283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BF" w:rsidRPr="00192ABF" w:rsidRDefault="00192ABF" w:rsidP="00192AB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92ABF">
        <w:rPr>
          <w:rFonts w:ascii="Times New Roman" w:hAnsi="Times New Roman" w:cs="Times New Roman"/>
          <w:i/>
          <w:sz w:val="24"/>
          <w:szCs w:val="24"/>
        </w:rPr>
        <w:t>Рис.2</w:t>
      </w:r>
      <w:r w:rsidR="00840C48">
        <w:rPr>
          <w:rFonts w:ascii="Times New Roman" w:hAnsi="Times New Roman" w:cs="Times New Roman"/>
          <w:i/>
          <w:sz w:val="24"/>
          <w:szCs w:val="24"/>
        </w:rPr>
        <w:t>8</w:t>
      </w:r>
      <w:r w:rsidRPr="00192ABF">
        <w:rPr>
          <w:rFonts w:ascii="Times New Roman" w:hAnsi="Times New Roman" w:cs="Times New Roman"/>
          <w:i/>
          <w:sz w:val="24"/>
          <w:szCs w:val="24"/>
        </w:rPr>
        <w:t xml:space="preserve"> Формы сопел сварочных горелок:</w:t>
      </w:r>
    </w:p>
    <w:p w:rsidR="00192ABF" w:rsidRPr="00192ABF" w:rsidRDefault="00192ABF" w:rsidP="00192AB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92ABF">
        <w:rPr>
          <w:rFonts w:ascii="Times New Roman" w:hAnsi="Times New Roman" w:cs="Times New Roman"/>
          <w:i/>
          <w:sz w:val="24"/>
          <w:szCs w:val="24"/>
        </w:rPr>
        <w:t>а – коническая, б – цилиндрическая, в - профилированная</w:t>
      </w:r>
    </w:p>
    <w:p w:rsidR="00192ABF" w:rsidRPr="00192ABF" w:rsidRDefault="00192ABF" w:rsidP="00192A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A4C" w:rsidRPr="00CC6A4C" w:rsidRDefault="00CC6A4C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A4C">
        <w:rPr>
          <w:rFonts w:ascii="Times New Roman" w:hAnsi="Times New Roman" w:cs="Times New Roman"/>
          <w:sz w:val="28"/>
          <w:szCs w:val="28"/>
        </w:rPr>
        <w:lastRenderedPageBreak/>
        <w:t>Расход защитного газа выбирают оптимальным для обеспечения истечения струи, близкого к ламинарному. Для улучшения струйной защиты на входе в сопло в горелке устанавливают мелкие сетки, пористые материалы и т.п., позволяющие дополнительно выравнивать поток газа на выходе из сопла. При сварке со струйной защитой возможен подсос воздуха в зону сварки. Для улучшения и увеличения области защиты, особенно при сварке активных материалов, к соплу горелки</w:t>
      </w:r>
      <w:r w:rsidR="00840C48">
        <w:rPr>
          <w:rFonts w:ascii="Times New Roman" w:hAnsi="Times New Roman" w:cs="Times New Roman"/>
          <w:sz w:val="28"/>
          <w:szCs w:val="28"/>
        </w:rPr>
        <w:t xml:space="preserve"> крепят дополнительные колпаки -</w:t>
      </w:r>
      <w:r w:rsidRPr="00CC6A4C">
        <w:rPr>
          <w:rFonts w:ascii="Times New Roman" w:hAnsi="Times New Roman" w:cs="Times New Roman"/>
          <w:sz w:val="28"/>
          <w:szCs w:val="28"/>
        </w:rPr>
        <w:t xml:space="preserve"> приставки.</w:t>
      </w:r>
    </w:p>
    <w:p w:rsidR="00CC6A4C" w:rsidRPr="00CC6A4C" w:rsidRDefault="00CC6A4C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A4C">
        <w:rPr>
          <w:rFonts w:ascii="Times New Roman" w:hAnsi="Times New Roman" w:cs="Times New Roman"/>
          <w:sz w:val="28"/>
          <w:szCs w:val="28"/>
        </w:rPr>
        <w:t>Наиболее эффективной является общая защита в камерах с контролируемой средой. Камеры заполняют инертным газом высокой чистоты под небольши</w:t>
      </w:r>
      <w:r w:rsidR="00840C48">
        <w:rPr>
          <w:rFonts w:ascii="Times New Roman" w:hAnsi="Times New Roman" w:cs="Times New Roman"/>
          <w:sz w:val="28"/>
          <w:szCs w:val="28"/>
        </w:rPr>
        <w:t>м избыточным давлением (0,005-</w:t>
      </w:r>
      <w:r w:rsidRPr="00CC6A4C">
        <w:rPr>
          <w:rFonts w:ascii="Times New Roman" w:hAnsi="Times New Roman" w:cs="Times New Roman"/>
          <w:sz w:val="28"/>
          <w:szCs w:val="28"/>
        </w:rPr>
        <w:t>0,01 Мпа). В камере располагаются свариваемое изделие и сварочное оборудование (автомат). Сварку производят внутри камеры изолированно от воздушной среды. Такой способ защиты обычно используют при с</w:t>
      </w:r>
      <w:r w:rsidR="00E54EE3">
        <w:rPr>
          <w:rFonts w:ascii="Times New Roman" w:hAnsi="Times New Roman" w:cs="Times New Roman"/>
          <w:sz w:val="28"/>
          <w:szCs w:val="28"/>
        </w:rPr>
        <w:t>варке изделий из химически актив</w:t>
      </w:r>
      <w:r w:rsidRPr="00CC6A4C">
        <w:rPr>
          <w:rFonts w:ascii="Times New Roman" w:hAnsi="Times New Roman" w:cs="Times New Roman"/>
          <w:sz w:val="28"/>
          <w:szCs w:val="28"/>
        </w:rPr>
        <w:t>ных металлов (титан, цирконий, тантал, молибден и др.).</w:t>
      </w:r>
    </w:p>
    <w:p w:rsidR="00CC6A4C" w:rsidRDefault="00CC6A4C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A4C">
        <w:rPr>
          <w:rFonts w:ascii="Times New Roman" w:hAnsi="Times New Roman" w:cs="Times New Roman"/>
          <w:sz w:val="28"/>
          <w:szCs w:val="28"/>
        </w:rPr>
        <w:t>Достоинство сварки в защитных газах – высокая производительность, высокое качество защиты, доступность наблюдения за процессом горения дуги, простота механизации и автоматизации,  возможность сварки в различных пространственных положениях. Сварка в защитных газах может выполняться неплавящимся и п</w:t>
      </w:r>
      <w:r w:rsidR="00840C48">
        <w:rPr>
          <w:rFonts w:ascii="Times New Roman" w:hAnsi="Times New Roman" w:cs="Times New Roman"/>
          <w:sz w:val="28"/>
          <w:szCs w:val="28"/>
        </w:rPr>
        <w:t>лавящимся электродами. На рис.29</w:t>
      </w:r>
      <w:r w:rsidRPr="00CC6A4C">
        <w:rPr>
          <w:rFonts w:ascii="Times New Roman" w:hAnsi="Times New Roman" w:cs="Times New Roman"/>
          <w:sz w:val="28"/>
          <w:szCs w:val="28"/>
        </w:rPr>
        <w:t xml:space="preserve"> приведены схемы постов для различных вариантов дуговой сварки в защитных газах.</w:t>
      </w:r>
    </w:p>
    <w:p w:rsidR="00CB7E02" w:rsidRDefault="00CB7E02" w:rsidP="00CC6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E02" w:rsidRDefault="00CB7E02" w:rsidP="00CB7E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095875" cy="6043528"/>
            <wp:effectExtent l="19050" t="0" r="9525" b="0"/>
            <wp:docPr id="3" name="Рисунок 3" descr="C:\Documents and Settings\Admin\Рабочий стол\2012-11-17\Imag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2012-11-17\Image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205" cy="604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02" w:rsidRPr="0086038E" w:rsidRDefault="00840C48" w:rsidP="0086038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Рис.29</w:t>
      </w:r>
      <w:r w:rsidR="00CB7E02" w:rsidRPr="0086038E">
        <w:rPr>
          <w:rFonts w:ascii="Times New Roman" w:hAnsi="Times New Roman" w:cs="Times New Roman"/>
          <w:i/>
          <w:sz w:val="24"/>
          <w:szCs w:val="24"/>
        </w:rPr>
        <w:t xml:space="preserve"> Схемы постов для сварки в защитных газах:</w:t>
      </w:r>
    </w:p>
    <w:p w:rsidR="00CB7E02" w:rsidRPr="0086038E" w:rsidRDefault="00CB7E02" w:rsidP="0086038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6038E">
        <w:rPr>
          <w:rFonts w:ascii="Times New Roman" w:hAnsi="Times New Roman" w:cs="Times New Roman"/>
          <w:i/>
          <w:sz w:val="24"/>
          <w:szCs w:val="24"/>
        </w:rPr>
        <w:t>а – неплавящимся электродом в инертных газах на постоянном токе прямой полярности,</w:t>
      </w:r>
    </w:p>
    <w:p w:rsidR="00CB7E02" w:rsidRPr="0086038E" w:rsidRDefault="00CB7E02" w:rsidP="0086038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6038E">
        <w:rPr>
          <w:rFonts w:ascii="Times New Roman" w:hAnsi="Times New Roman" w:cs="Times New Roman"/>
          <w:i/>
          <w:sz w:val="24"/>
          <w:szCs w:val="24"/>
        </w:rPr>
        <w:t>б – то же, на</w:t>
      </w:r>
      <w:r w:rsidR="0086038E" w:rsidRPr="0086038E">
        <w:rPr>
          <w:rFonts w:ascii="Times New Roman" w:hAnsi="Times New Roman" w:cs="Times New Roman"/>
          <w:i/>
          <w:sz w:val="24"/>
          <w:szCs w:val="24"/>
        </w:rPr>
        <w:t xml:space="preserve"> переменном токе,</w:t>
      </w:r>
    </w:p>
    <w:p w:rsidR="0086038E" w:rsidRPr="0086038E" w:rsidRDefault="0086038E" w:rsidP="0086038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6038E">
        <w:rPr>
          <w:rFonts w:ascii="Times New Roman" w:hAnsi="Times New Roman" w:cs="Times New Roman"/>
          <w:i/>
          <w:sz w:val="24"/>
          <w:szCs w:val="24"/>
        </w:rPr>
        <w:t>в – плавящимся электродом на постоянном токе обратной полярности</w:t>
      </w:r>
    </w:p>
    <w:sectPr w:rsidR="0086038E" w:rsidRPr="0086038E" w:rsidSect="00B92F5E">
      <w:footerReference w:type="default" r:id="rId9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C48" w:rsidRDefault="00840C48" w:rsidP="00840C48">
      <w:pPr>
        <w:spacing w:after="0" w:line="240" w:lineRule="auto"/>
      </w:pPr>
      <w:r>
        <w:separator/>
      </w:r>
    </w:p>
  </w:endnote>
  <w:endnote w:type="continuationSeparator" w:id="1">
    <w:p w:rsidR="00840C48" w:rsidRDefault="00840C48" w:rsidP="00840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9422"/>
    </w:sdtPr>
    <w:sdtEndPr>
      <w:rPr>
        <w:rFonts w:ascii="Times New Roman" w:hAnsi="Times New Roman" w:cs="Times New Roman"/>
      </w:rPr>
    </w:sdtEndPr>
    <w:sdtContent>
      <w:p w:rsidR="00840C48" w:rsidRPr="00840C48" w:rsidRDefault="002930EA">
        <w:pPr>
          <w:pStyle w:val="a7"/>
          <w:jc w:val="right"/>
          <w:rPr>
            <w:rFonts w:ascii="Times New Roman" w:hAnsi="Times New Roman" w:cs="Times New Roman"/>
          </w:rPr>
        </w:pPr>
        <w:r w:rsidRPr="00840C48">
          <w:rPr>
            <w:rFonts w:ascii="Times New Roman" w:hAnsi="Times New Roman" w:cs="Times New Roman"/>
          </w:rPr>
          <w:fldChar w:fldCharType="begin"/>
        </w:r>
        <w:r w:rsidR="00840C48" w:rsidRPr="00840C48">
          <w:rPr>
            <w:rFonts w:ascii="Times New Roman" w:hAnsi="Times New Roman" w:cs="Times New Roman"/>
          </w:rPr>
          <w:instrText xml:space="preserve"> PAGE   \* MERGEFORMAT </w:instrText>
        </w:r>
        <w:r w:rsidRPr="00840C48">
          <w:rPr>
            <w:rFonts w:ascii="Times New Roman" w:hAnsi="Times New Roman" w:cs="Times New Roman"/>
          </w:rPr>
          <w:fldChar w:fldCharType="separate"/>
        </w:r>
        <w:r w:rsidR="00B92F5E">
          <w:rPr>
            <w:rFonts w:ascii="Times New Roman" w:hAnsi="Times New Roman" w:cs="Times New Roman"/>
            <w:noProof/>
          </w:rPr>
          <w:t>55</w:t>
        </w:r>
        <w:r w:rsidRPr="00840C48">
          <w:rPr>
            <w:rFonts w:ascii="Times New Roman" w:hAnsi="Times New Roman" w:cs="Times New Roman"/>
          </w:rPr>
          <w:fldChar w:fldCharType="end"/>
        </w:r>
      </w:p>
    </w:sdtContent>
  </w:sdt>
  <w:p w:rsidR="00840C48" w:rsidRDefault="00840C4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C48" w:rsidRDefault="00840C48" w:rsidP="00840C48">
      <w:pPr>
        <w:spacing w:after="0" w:line="240" w:lineRule="auto"/>
      </w:pPr>
      <w:r>
        <w:separator/>
      </w:r>
    </w:p>
  </w:footnote>
  <w:footnote w:type="continuationSeparator" w:id="1">
    <w:p w:rsidR="00840C48" w:rsidRDefault="00840C48" w:rsidP="00840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6A4C"/>
    <w:rsid w:val="000A7F4B"/>
    <w:rsid w:val="00192ABF"/>
    <w:rsid w:val="002930EA"/>
    <w:rsid w:val="00834C60"/>
    <w:rsid w:val="00840C48"/>
    <w:rsid w:val="0086038E"/>
    <w:rsid w:val="00AC6963"/>
    <w:rsid w:val="00B8487E"/>
    <w:rsid w:val="00B92F5E"/>
    <w:rsid w:val="00C41EBA"/>
    <w:rsid w:val="00C55A26"/>
    <w:rsid w:val="00CB7E02"/>
    <w:rsid w:val="00CC6A4C"/>
    <w:rsid w:val="00E54EE3"/>
    <w:rsid w:val="00FB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63"/>
  </w:style>
  <w:style w:type="paragraph" w:styleId="1">
    <w:name w:val="heading 1"/>
    <w:basedOn w:val="a"/>
    <w:next w:val="a"/>
    <w:link w:val="10"/>
    <w:uiPriority w:val="9"/>
    <w:qFormat/>
    <w:rsid w:val="00834C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34C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840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0C48"/>
  </w:style>
  <w:style w:type="paragraph" w:styleId="a7">
    <w:name w:val="footer"/>
    <w:basedOn w:val="a"/>
    <w:link w:val="a8"/>
    <w:uiPriority w:val="99"/>
    <w:unhideWhenUsed/>
    <w:rsid w:val="00840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0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12</cp:revision>
  <dcterms:created xsi:type="dcterms:W3CDTF">2012-11-17T15:09:00Z</dcterms:created>
  <dcterms:modified xsi:type="dcterms:W3CDTF">2012-11-23T03:50:00Z</dcterms:modified>
</cp:coreProperties>
</file>